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ED863">
      <w:pPr>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eastAsia="zh-CN"/>
        </w:rPr>
        <w:t>附件</w:t>
      </w:r>
      <w:r>
        <w:rPr>
          <w:rFonts w:hint="eastAsia" w:ascii="仿宋" w:hAnsi="仿宋" w:eastAsia="仿宋" w:cs="仿宋"/>
          <w:b w:val="0"/>
          <w:bCs/>
          <w:color w:val="auto"/>
          <w:sz w:val="32"/>
          <w:szCs w:val="32"/>
          <w:lang w:val="en-US" w:eastAsia="zh-CN"/>
        </w:rPr>
        <w:t>2：部门三公经费公开(参考格式)</w:t>
      </w:r>
    </w:p>
    <w:p w14:paraId="27BCB7B9">
      <w:pPr>
        <w:jc w:val="both"/>
        <w:rPr>
          <w:rFonts w:hint="default" w:ascii="黑体" w:hAnsi="黑体" w:eastAsia="黑体" w:cs="黑体"/>
          <w:b w:val="0"/>
          <w:bCs/>
          <w:color w:val="auto"/>
          <w:sz w:val="32"/>
          <w:szCs w:val="32"/>
          <w:lang w:val="en-US" w:eastAsia="zh-CN"/>
        </w:rPr>
      </w:pPr>
      <w:bookmarkStart w:id="0" w:name="_GoBack"/>
      <w:bookmarkEnd w:id="0"/>
    </w:p>
    <w:p w14:paraId="49284061">
      <w:pPr>
        <w:jc w:val="center"/>
        <w:rPr>
          <w:rFonts w:hint="eastAsia" w:ascii="宋体" w:hAnsi="宋体"/>
          <w:b/>
          <w:color w:val="auto"/>
          <w:sz w:val="36"/>
          <w:szCs w:val="36"/>
        </w:rPr>
      </w:pPr>
      <w:r>
        <w:rPr>
          <w:rFonts w:hint="eastAsia" w:ascii="宋体" w:hAnsi="宋体"/>
          <w:b/>
          <w:color w:val="auto"/>
          <w:sz w:val="36"/>
          <w:szCs w:val="36"/>
          <w:lang w:eastAsia="zh-CN"/>
        </w:rPr>
        <w:t>徽州区XX（部门名称）202</w:t>
      </w:r>
      <w:r>
        <w:rPr>
          <w:rFonts w:hint="eastAsia" w:ascii="宋体" w:hAnsi="宋体"/>
          <w:b/>
          <w:color w:val="auto"/>
          <w:sz w:val="36"/>
          <w:szCs w:val="36"/>
          <w:lang w:val="en-US" w:eastAsia="zh-CN"/>
        </w:rPr>
        <w:t>3</w:t>
      </w:r>
      <w:r>
        <w:rPr>
          <w:rFonts w:ascii="宋体" w:hAnsi="宋体"/>
          <w:b/>
          <w:color w:val="auto"/>
          <w:sz w:val="36"/>
          <w:szCs w:val="36"/>
        </w:rPr>
        <w:t>年</w:t>
      </w:r>
      <w:r>
        <w:rPr>
          <w:rFonts w:hint="eastAsia" w:ascii="宋体" w:hAnsi="宋体"/>
          <w:b/>
          <w:color w:val="auto"/>
          <w:sz w:val="36"/>
          <w:szCs w:val="36"/>
        </w:rPr>
        <w:t>度一般公共预算财政拨款</w:t>
      </w:r>
      <w:r>
        <w:rPr>
          <w:rFonts w:ascii="宋体" w:hAnsi="宋体"/>
          <w:b/>
          <w:color w:val="auto"/>
          <w:sz w:val="36"/>
          <w:szCs w:val="36"/>
        </w:rPr>
        <w:t>“三公</w:t>
      </w:r>
      <w:r>
        <w:rPr>
          <w:rFonts w:hint="eastAsia" w:ascii="宋体" w:hAnsi="宋体"/>
          <w:b/>
          <w:color w:val="auto"/>
          <w:sz w:val="36"/>
          <w:szCs w:val="36"/>
        </w:rPr>
        <w:t>”</w:t>
      </w:r>
      <w:r>
        <w:rPr>
          <w:rFonts w:ascii="宋体" w:hAnsi="宋体"/>
          <w:b/>
          <w:color w:val="auto"/>
          <w:sz w:val="36"/>
          <w:szCs w:val="36"/>
        </w:rPr>
        <w:t>经费</w:t>
      </w:r>
      <w:r>
        <w:rPr>
          <w:rFonts w:hint="eastAsia" w:ascii="宋体" w:hAnsi="宋体"/>
          <w:b/>
          <w:color w:val="auto"/>
          <w:sz w:val="36"/>
          <w:szCs w:val="36"/>
        </w:rPr>
        <w:t>支出决算</w:t>
      </w:r>
    </w:p>
    <w:p w14:paraId="764F4357">
      <w:pPr>
        <w:jc w:val="center"/>
        <w:rPr>
          <w:rFonts w:hint="eastAsia" w:ascii="楷体_GB2312" w:eastAsia="楷体_GB2312"/>
          <w:color w:val="auto"/>
          <w:szCs w:val="32"/>
        </w:rPr>
      </w:pPr>
      <w:r>
        <w:rPr>
          <w:rFonts w:hint="eastAsia" w:ascii="楷体_GB2312" w:eastAsia="楷体_GB2312"/>
          <w:color w:val="auto"/>
          <w:szCs w:val="32"/>
        </w:rPr>
        <w:t>(参考格式)</w:t>
      </w:r>
    </w:p>
    <w:p w14:paraId="002E655B">
      <w:pPr>
        <w:jc w:val="center"/>
        <w:rPr>
          <w:rFonts w:hint="eastAsia" w:ascii="楷体_GB2312" w:eastAsia="楷体_GB2312"/>
          <w:color w:val="auto"/>
          <w:szCs w:val="32"/>
        </w:rPr>
      </w:pPr>
    </w:p>
    <w:p w14:paraId="44981459">
      <w:pPr>
        <w:adjustRightInd w:val="0"/>
        <w:snapToGrid w:val="0"/>
        <w:spacing w:line="360" w:lineRule="auto"/>
        <w:jc w:val="center"/>
        <w:rPr>
          <w:rFonts w:hint="eastAsia" w:ascii="宋体" w:hAnsi="宋体"/>
          <w:color w:val="auto"/>
          <w:sz w:val="6"/>
          <w:szCs w:val="32"/>
        </w:rPr>
      </w:pPr>
    </w:p>
    <w:p w14:paraId="1BCA6209">
      <w:pPr>
        <w:rPr>
          <w:rFonts w:hint="eastAsia" w:ascii="黑体" w:hAnsi="黑体" w:eastAsia="黑体"/>
          <w:color w:val="auto"/>
          <w:szCs w:val="32"/>
        </w:rPr>
      </w:pPr>
      <w:r>
        <w:rPr>
          <w:rFonts w:ascii="黑体" w:hAnsi="黑体" w:eastAsia="黑体"/>
          <w:color w:val="auto"/>
          <w:szCs w:val="32"/>
        </w:rPr>
        <w:t xml:space="preserve">    </w:t>
      </w:r>
      <w:r>
        <w:rPr>
          <w:rFonts w:hint="eastAsia" w:ascii="黑体" w:hAnsi="黑体" w:eastAsia="黑体"/>
          <w:color w:val="auto"/>
          <w:szCs w:val="32"/>
        </w:rPr>
        <w:t>一、</w:t>
      </w:r>
      <w:r>
        <w:rPr>
          <w:rFonts w:hint="eastAsia" w:ascii="黑体" w:hAnsi="黑体" w:eastAsia="黑体"/>
          <w:color w:val="auto"/>
          <w:szCs w:val="32"/>
          <w:lang w:eastAsia="zh-CN"/>
        </w:rPr>
        <w:t>202</w:t>
      </w:r>
      <w:r>
        <w:rPr>
          <w:rFonts w:hint="eastAsia" w:ascii="黑体" w:hAnsi="黑体" w:eastAsia="黑体"/>
          <w:color w:val="auto"/>
          <w:szCs w:val="32"/>
          <w:lang w:val="en-US" w:eastAsia="zh-CN"/>
        </w:rPr>
        <w:t>3</w:t>
      </w:r>
      <w:r>
        <w:rPr>
          <w:rFonts w:hint="eastAsia" w:ascii="黑体" w:hAnsi="黑体" w:eastAsia="黑体"/>
          <w:color w:val="auto"/>
          <w:szCs w:val="32"/>
        </w:rPr>
        <w:t>年度一般公共预算财政拨款“三公”经费支出决算表</w:t>
      </w:r>
    </w:p>
    <w:p w14:paraId="07E290BF">
      <w:pPr>
        <w:jc w:val="right"/>
        <w:rPr>
          <w:rFonts w:hint="eastAsia" w:ascii="黑体" w:hAnsi="黑体" w:eastAsia="黑体"/>
          <w:color w:val="auto"/>
          <w:szCs w:val="32"/>
        </w:rPr>
      </w:pPr>
      <w:r>
        <w:rPr>
          <w:rFonts w:hint="eastAsia" w:ascii="仿宋_GB2312" w:hAnsi="仿宋_GB2312" w:cs="仿宋_GB2312"/>
          <w:color w:val="auto"/>
          <w:szCs w:val="32"/>
        </w:rPr>
        <w:t>单位：万元</w:t>
      </w:r>
    </w:p>
    <w:tbl>
      <w:tblPr>
        <w:tblStyle w:val="3"/>
        <w:tblpPr w:leftFromText="180" w:rightFromText="180" w:vertAnchor="text" w:horzAnchor="margin" w:tblpY="454"/>
        <w:tblOverlap w:val="never"/>
        <w:tblW w:w="0" w:type="auto"/>
        <w:tblInd w:w="0" w:type="dxa"/>
        <w:tblLayout w:type="fixed"/>
        <w:tblCellMar>
          <w:top w:w="0" w:type="dxa"/>
          <w:left w:w="108" w:type="dxa"/>
          <w:bottom w:w="0" w:type="dxa"/>
          <w:right w:w="108" w:type="dxa"/>
        </w:tblCellMar>
      </w:tblPr>
      <w:tblGrid>
        <w:gridCol w:w="4379"/>
        <w:gridCol w:w="2157"/>
        <w:gridCol w:w="2220"/>
      </w:tblGrid>
      <w:tr w14:paraId="73F86919">
        <w:tblPrEx>
          <w:tblCellMar>
            <w:top w:w="0" w:type="dxa"/>
            <w:left w:w="108" w:type="dxa"/>
            <w:bottom w:w="0" w:type="dxa"/>
            <w:right w:w="108" w:type="dxa"/>
          </w:tblCellMar>
        </w:tblPrEx>
        <w:trPr>
          <w:trHeight w:val="397" w:hRule="atLeast"/>
        </w:trPr>
        <w:tc>
          <w:tcPr>
            <w:tcW w:w="4379" w:type="dxa"/>
            <w:tcBorders>
              <w:top w:val="single" w:color="auto" w:sz="4" w:space="0"/>
              <w:left w:val="single" w:color="auto" w:sz="4" w:space="0"/>
              <w:bottom w:val="single" w:color="auto" w:sz="4" w:space="0"/>
              <w:right w:val="single" w:color="auto" w:sz="4" w:space="0"/>
            </w:tcBorders>
            <w:noWrap w:val="0"/>
            <w:vAlign w:val="center"/>
          </w:tcPr>
          <w:p w14:paraId="70002D93">
            <w:pPr>
              <w:widowControl/>
              <w:jc w:val="center"/>
              <w:rPr>
                <w:rFonts w:ascii="宋体" w:hAnsi="宋体" w:cs="宋体"/>
                <w:b/>
                <w:bCs/>
                <w:color w:val="auto"/>
                <w:kern w:val="0"/>
                <w:szCs w:val="21"/>
              </w:rPr>
            </w:pPr>
            <w:r>
              <w:rPr>
                <w:rFonts w:hint="eastAsia" w:ascii="宋体" w:hAnsi="宋体" w:cs="宋体"/>
                <w:b/>
                <w:bCs/>
                <w:color w:val="auto"/>
                <w:kern w:val="0"/>
                <w:szCs w:val="21"/>
              </w:rPr>
              <w:t>项  目</w:t>
            </w:r>
          </w:p>
        </w:tc>
        <w:tc>
          <w:tcPr>
            <w:tcW w:w="2157" w:type="dxa"/>
            <w:tcBorders>
              <w:top w:val="single" w:color="auto" w:sz="4" w:space="0"/>
              <w:left w:val="nil"/>
              <w:bottom w:val="single" w:color="auto" w:sz="4" w:space="0"/>
              <w:right w:val="single" w:color="auto" w:sz="4" w:space="0"/>
            </w:tcBorders>
            <w:noWrap w:val="0"/>
            <w:vAlign w:val="center"/>
          </w:tcPr>
          <w:p w14:paraId="7B56E3C0">
            <w:pPr>
              <w:widowControl/>
              <w:jc w:val="center"/>
              <w:rPr>
                <w:rFonts w:ascii="宋体" w:hAnsi="宋体" w:cs="宋体"/>
                <w:b/>
                <w:bCs/>
                <w:color w:val="auto"/>
                <w:kern w:val="0"/>
                <w:szCs w:val="21"/>
              </w:rPr>
            </w:pPr>
            <w:r>
              <w:rPr>
                <w:rFonts w:hint="eastAsia" w:ascii="宋体" w:hAnsi="宋体" w:cs="宋体"/>
                <w:b/>
                <w:bCs/>
                <w:color w:val="auto"/>
                <w:kern w:val="0"/>
                <w:szCs w:val="21"/>
              </w:rPr>
              <w:t>预 算 数</w:t>
            </w:r>
          </w:p>
        </w:tc>
        <w:tc>
          <w:tcPr>
            <w:tcW w:w="2220" w:type="dxa"/>
            <w:tcBorders>
              <w:top w:val="single" w:color="auto" w:sz="4" w:space="0"/>
              <w:left w:val="nil"/>
              <w:bottom w:val="single" w:color="auto" w:sz="4" w:space="0"/>
              <w:right w:val="single" w:color="auto" w:sz="4" w:space="0"/>
            </w:tcBorders>
            <w:noWrap w:val="0"/>
            <w:vAlign w:val="center"/>
          </w:tcPr>
          <w:p w14:paraId="721BC64F">
            <w:pPr>
              <w:widowControl/>
              <w:jc w:val="center"/>
              <w:rPr>
                <w:rFonts w:ascii="宋体" w:hAnsi="宋体" w:cs="宋体"/>
                <w:b/>
                <w:bCs/>
                <w:color w:val="auto"/>
                <w:kern w:val="0"/>
                <w:szCs w:val="21"/>
              </w:rPr>
            </w:pPr>
            <w:r>
              <w:rPr>
                <w:rFonts w:hint="eastAsia" w:ascii="宋体" w:hAnsi="宋体" w:cs="宋体"/>
                <w:b/>
                <w:bCs/>
                <w:color w:val="auto"/>
                <w:kern w:val="0"/>
                <w:szCs w:val="21"/>
              </w:rPr>
              <w:t>决 算 数</w:t>
            </w:r>
          </w:p>
        </w:tc>
      </w:tr>
      <w:tr w14:paraId="57D07DBF">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00AF9D0A">
            <w:pPr>
              <w:widowControl/>
              <w:jc w:val="center"/>
              <w:rPr>
                <w:rFonts w:ascii="宋体" w:hAnsi="宋体" w:cs="宋体"/>
                <w:b/>
                <w:bCs/>
                <w:color w:val="auto"/>
                <w:kern w:val="0"/>
                <w:szCs w:val="21"/>
              </w:rPr>
            </w:pPr>
            <w:r>
              <w:rPr>
                <w:rFonts w:hint="eastAsia" w:ascii="宋体" w:hAnsi="宋体" w:cs="宋体"/>
                <w:b/>
                <w:bCs/>
                <w:color w:val="auto"/>
                <w:kern w:val="0"/>
                <w:szCs w:val="21"/>
              </w:rPr>
              <w:t>合  计</w:t>
            </w:r>
          </w:p>
        </w:tc>
        <w:tc>
          <w:tcPr>
            <w:tcW w:w="2157" w:type="dxa"/>
            <w:tcBorders>
              <w:top w:val="nil"/>
              <w:left w:val="nil"/>
              <w:bottom w:val="single" w:color="auto" w:sz="4" w:space="0"/>
              <w:right w:val="single" w:color="auto" w:sz="4" w:space="0"/>
            </w:tcBorders>
            <w:noWrap w:val="0"/>
            <w:vAlign w:val="center"/>
          </w:tcPr>
          <w:p w14:paraId="25559E14">
            <w:pPr>
              <w:widowControl/>
              <w:jc w:val="center"/>
              <w:rPr>
                <w:rFonts w:ascii="宋体" w:hAnsi="宋体" w:cs="宋体"/>
                <w:b/>
                <w:bCs/>
                <w:color w:val="auto"/>
                <w:kern w:val="0"/>
                <w:szCs w:val="21"/>
              </w:rPr>
            </w:pPr>
            <w:r>
              <w:rPr>
                <w:rFonts w:hint="eastAsia" w:ascii="宋体" w:hAnsi="宋体" w:cs="宋体"/>
                <w:b/>
                <w:bCs/>
                <w:color w:val="auto"/>
                <w:kern w:val="0"/>
                <w:szCs w:val="21"/>
              </w:rPr>
              <w:t>　</w:t>
            </w:r>
          </w:p>
        </w:tc>
        <w:tc>
          <w:tcPr>
            <w:tcW w:w="2220" w:type="dxa"/>
            <w:tcBorders>
              <w:top w:val="nil"/>
              <w:left w:val="nil"/>
              <w:bottom w:val="single" w:color="auto" w:sz="4" w:space="0"/>
              <w:right w:val="single" w:color="auto" w:sz="4" w:space="0"/>
            </w:tcBorders>
            <w:noWrap w:val="0"/>
            <w:vAlign w:val="center"/>
          </w:tcPr>
          <w:p w14:paraId="6A737D78">
            <w:pPr>
              <w:widowControl/>
              <w:jc w:val="center"/>
              <w:rPr>
                <w:rFonts w:ascii="宋体" w:hAnsi="宋体" w:cs="宋体"/>
                <w:b/>
                <w:bCs/>
                <w:color w:val="auto"/>
                <w:kern w:val="0"/>
                <w:szCs w:val="21"/>
              </w:rPr>
            </w:pPr>
            <w:r>
              <w:rPr>
                <w:rFonts w:hint="eastAsia" w:ascii="宋体" w:hAnsi="宋体" w:cs="宋体"/>
                <w:b/>
                <w:bCs/>
                <w:color w:val="auto"/>
                <w:kern w:val="0"/>
                <w:szCs w:val="21"/>
              </w:rPr>
              <w:t>　</w:t>
            </w:r>
          </w:p>
        </w:tc>
      </w:tr>
      <w:tr w14:paraId="444CC716">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764948EF">
            <w:pPr>
              <w:widowControl/>
              <w:jc w:val="left"/>
              <w:rPr>
                <w:rFonts w:ascii="宋体" w:hAnsi="宋体" w:cs="宋体"/>
                <w:color w:val="auto"/>
                <w:kern w:val="0"/>
                <w:szCs w:val="21"/>
              </w:rPr>
            </w:pPr>
            <w:r>
              <w:rPr>
                <w:rFonts w:hint="eastAsia" w:ascii="宋体" w:hAnsi="宋体" w:cs="宋体"/>
                <w:color w:val="auto"/>
                <w:kern w:val="0"/>
                <w:szCs w:val="21"/>
              </w:rPr>
              <w:t>因公出国（境）费</w:t>
            </w:r>
          </w:p>
        </w:tc>
        <w:tc>
          <w:tcPr>
            <w:tcW w:w="2157" w:type="dxa"/>
            <w:tcBorders>
              <w:top w:val="nil"/>
              <w:left w:val="nil"/>
              <w:bottom w:val="single" w:color="auto" w:sz="4" w:space="0"/>
              <w:right w:val="single" w:color="auto" w:sz="4" w:space="0"/>
            </w:tcBorders>
            <w:noWrap w:val="0"/>
            <w:vAlign w:val="bottom"/>
          </w:tcPr>
          <w:p w14:paraId="0074A780">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0C1F590A">
            <w:pPr>
              <w:widowControl/>
              <w:jc w:val="left"/>
              <w:rPr>
                <w:rFonts w:ascii="宋体" w:hAnsi="宋体" w:cs="宋体"/>
                <w:color w:val="auto"/>
                <w:kern w:val="0"/>
                <w:szCs w:val="21"/>
              </w:rPr>
            </w:pPr>
            <w:r>
              <w:rPr>
                <w:rFonts w:hint="eastAsia" w:ascii="宋体" w:hAnsi="宋体" w:cs="宋体"/>
                <w:color w:val="auto"/>
                <w:kern w:val="0"/>
                <w:szCs w:val="21"/>
              </w:rPr>
              <w:t>　</w:t>
            </w:r>
          </w:p>
        </w:tc>
      </w:tr>
      <w:tr w14:paraId="3ADD8A8E">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59FC3CBF">
            <w:pPr>
              <w:widowControl/>
              <w:jc w:val="left"/>
              <w:rPr>
                <w:rFonts w:ascii="宋体" w:hAnsi="宋体" w:cs="宋体"/>
                <w:color w:val="auto"/>
                <w:kern w:val="0"/>
                <w:szCs w:val="21"/>
              </w:rPr>
            </w:pPr>
            <w:r>
              <w:rPr>
                <w:rFonts w:hint="eastAsia" w:ascii="宋体" w:hAnsi="宋体" w:cs="宋体"/>
                <w:color w:val="auto"/>
                <w:kern w:val="0"/>
                <w:szCs w:val="21"/>
              </w:rPr>
              <w:t>公务接待费</w:t>
            </w:r>
          </w:p>
        </w:tc>
        <w:tc>
          <w:tcPr>
            <w:tcW w:w="2157" w:type="dxa"/>
            <w:tcBorders>
              <w:top w:val="nil"/>
              <w:left w:val="nil"/>
              <w:bottom w:val="single" w:color="auto" w:sz="4" w:space="0"/>
              <w:right w:val="single" w:color="auto" w:sz="4" w:space="0"/>
            </w:tcBorders>
            <w:noWrap w:val="0"/>
            <w:vAlign w:val="bottom"/>
          </w:tcPr>
          <w:p w14:paraId="1E84D3B3">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5B1F4AF1">
            <w:pPr>
              <w:widowControl/>
              <w:jc w:val="left"/>
              <w:rPr>
                <w:rFonts w:ascii="宋体" w:hAnsi="宋体" w:cs="宋体"/>
                <w:color w:val="auto"/>
                <w:kern w:val="0"/>
                <w:szCs w:val="21"/>
              </w:rPr>
            </w:pPr>
            <w:r>
              <w:rPr>
                <w:rFonts w:hint="eastAsia" w:ascii="宋体" w:hAnsi="宋体" w:cs="宋体"/>
                <w:color w:val="auto"/>
                <w:kern w:val="0"/>
                <w:szCs w:val="21"/>
              </w:rPr>
              <w:t>　</w:t>
            </w:r>
          </w:p>
        </w:tc>
      </w:tr>
      <w:tr w14:paraId="6881248E">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12E4ECAE">
            <w:pPr>
              <w:widowControl/>
              <w:jc w:val="left"/>
              <w:rPr>
                <w:rFonts w:ascii="宋体" w:hAnsi="宋体" w:cs="宋体"/>
                <w:color w:val="auto"/>
                <w:kern w:val="0"/>
                <w:szCs w:val="21"/>
              </w:rPr>
            </w:pPr>
            <w:r>
              <w:rPr>
                <w:rFonts w:hint="eastAsia" w:ascii="宋体" w:hAnsi="宋体" w:cs="宋体"/>
                <w:color w:val="auto"/>
                <w:kern w:val="0"/>
                <w:szCs w:val="21"/>
              </w:rPr>
              <w:t>公务用车购置及运行维护费</w:t>
            </w:r>
          </w:p>
        </w:tc>
        <w:tc>
          <w:tcPr>
            <w:tcW w:w="2157" w:type="dxa"/>
            <w:tcBorders>
              <w:top w:val="nil"/>
              <w:left w:val="nil"/>
              <w:bottom w:val="single" w:color="auto" w:sz="4" w:space="0"/>
              <w:right w:val="single" w:color="auto" w:sz="4" w:space="0"/>
            </w:tcBorders>
            <w:noWrap w:val="0"/>
            <w:vAlign w:val="bottom"/>
          </w:tcPr>
          <w:p w14:paraId="42CC8B73">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14B484D2">
            <w:pPr>
              <w:widowControl/>
              <w:jc w:val="left"/>
              <w:rPr>
                <w:rFonts w:ascii="宋体" w:hAnsi="宋体" w:cs="宋体"/>
                <w:color w:val="auto"/>
                <w:kern w:val="0"/>
                <w:szCs w:val="21"/>
              </w:rPr>
            </w:pPr>
            <w:r>
              <w:rPr>
                <w:rFonts w:hint="eastAsia" w:ascii="宋体" w:hAnsi="宋体" w:cs="宋体"/>
                <w:color w:val="auto"/>
                <w:kern w:val="0"/>
                <w:szCs w:val="21"/>
              </w:rPr>
              <w:t>　</w:t>
            </w:r>
          </w:p>
        </w:tc>
      </w:tr>
      <w:tr w14:paraId="4A080A36">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452B84A9">
            <w:pPr>
              <w:widowControl/>
              <w:jc w:val="left"/>
              <w:rPr>
                <w:rFonts w:ascii="宋体" w:hAnsi="宋体" w:cs="宋体"/>
                <w:color w:val="auto"/>
                <w:kern w:val="0"/>
                <w:szCs w:val="21"/>
              </w:rPr>
            </w:pPr>
            <w:r>
              <w:rPr>
                <w:rFonts w:hint="eastAsia" w:ascii="宋体" w:hAnsi="宋体" w:cs="宋体"/>
                <w:color w:val="auto"/>
                <w:kern w:val="0"/>
                <w:szCs w:val="21"/>
              </w:rPr>
              <w:t xml:space="preserve">  其中：公务用车购置费</w:t>
            </w:r>
          </w:p>
        </w:tc>
        <w:tc>
          <w:tcPr>
            <w:tcW w:w="2157" w:type="dxa"/>
            <w:tcBorders>
              <w:top w:val="nil"/>
              <w:left w:val="nil"/>
              <w:bottom w:val="single" w:color="auto" w:sz="4" w:space="0"/>
              <w:right w:val="single" w:color="auto" w:sz="4" w:space="0"/>
            </w:tcBorders>
            <w:noWrap w:val="0"/>
            <w:vAlign w:val="bottom"/>
          </w:tcPr>
          <w:p w14:paraId="30512AC6">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43DEB456">
            <w:pPr>
              <w:widowControl/>
              <w:jc w:val="left"/>
              <w:rPr>
                <w:rFonts w:ascii="宋体" w:hAnsi="宋体" w:cs="宋体"/>
                <w:color w:val="auto"/>
                <w:kern w:val="0"/>
                <w:szCs w:val="21"/>
              </w:rPr>
            </w:pPr>
            <w:r>
              <w:rPr>
                <w:rFonts w:hint="eastAsia" w:ascii="宋体" w:hAnsi="宋体" w:cs="宋体"/>
                <w:color w:val="auto"/>
                <w:kern w:val="0"/>
                <w:szCs w:val="21"/>
              </w:rPr>
              <w:t>　</w:t>
            </w:r>
          </w:p>
        </w:tc>
      </w:tr>
      <w:tr w14:paraId="4F182D85">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147CF193">
            <w:pPr>
              <w:widowControl/>
              <w:jc w:val="left"/>
              <w:rPr>
                <w:rFonts w:ascii="宋体" w:hAnsi="宋体" w:cs="宋体"/>
                <w:color w:val="auto"/>
                <w:kern w:val="0"/>
                <w:szCs w:val="21"/>
              </w:rPr>
            </w:pPr>
            <w:r>
              <w:rPr>
                <w:rFonts w:hint="eastAsia" w:ascii="宋体" w:hAnsi="宋体" w:cs="宋体"/>
                <w:color w:val="auto"/>
                <w:kern w:val="0"/>
                <w:szCs w:val="21"/>
              </w:rPr>
              <w:t xml:space="preserve">        公务用车运行维护费</w:t>
            </w:r>
          </w:p>
        </w:tc>
        <w:tc>
          <w:tcPr>
            <w:tcW w:w="2157" w:type="dxa"/>
            <w:tcBorders>
              <w:top w:val="nil"/>
              <w:left w:val="nil"/>
              <w:bottom w:val="single" w:color="auto" w:sz="4" w:space="0"/>
              <w:right w:val="single" w:color="auto" w:sz="4" w:space="0"/>
            </w:tcBorders>
            <w:noWrap w:val="0"/>
            <w:vAlign w:val="bottom"/>
          </w:tcPr>
          <w:p w14:paraId="6513B9F5">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76C3F9BD">
            <w:pPr>
              <w:widowControl/>
              <w:jc w:val="left"/>
              <w:rPr>
                <w:rFonts w:ascii="宋体" w:hAnsi="宋体" w:cs="宋体"/>
                <w:color w:val="auto"/>
                <w:kern w:val="0"/>
                <w:szCs w:val="21"/>
              </w:rPr>
            </w:pPr>
            <w:r>
              <w:rPr>
                <w:rFonts w:hint="eastAsia" w:ascii="宋体" w:hAnsi="宋体" w:cs="宋体"/>
                <w:color w:val="auto"/>
                <w:kern w:val="0"/>
                <w:szCs w:val="21"/>
              </w:rPr>
              <w:t>　</w:t>
            </w:r>
          </w:p>
        </w:tc>
      </w:tr>
    </w:tbl>
    <w:p w14:paraId="11598C89">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仿宋_GB2312" w:hAnsi="仿宋"/>
          <w:color w:val="auto"/>
          <w:sz w:val="21"/>
          <w:szCs w:val="21"/>
          <w:lang w:val="en-US" w:eastAsia="zh-CN"/>
        </w:rPr>
      </w:pPr>
    </w:p>
    <w:p w14:paraId="51C311B5">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color w:val="auto"/>
          <w:szCs w:val="32"/>
        </w:rPr>
      </w:pPr>
      <w:r>
        <w:rPr>
          <w:rFonts w:hint="eastAsia" w:ascii="仿宋_GB2312" w:hAnsi="仿宋"/>
          <w:color w:val="auto"/>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color w:val="auto"/>
          <w:sz w:val="21"/>
          <w:szCs w:val="21"/>
          <w:lang w:eastAsia="zh-CN"/>
        </w:rPr>
        <w:t xml:space="preserve"> </w:t>
      </w:r>
      <w:r>
        <w:rPr>
          <w:rFonts w:hint="eastAsia" w:ascii="仿宋_GB2312" w:hAnsi="仿宋"/>
          <w:color w:val="auto"/>
          <w:szCs w:val="32"/>
          <w:lang w:eastAsia="zh-CN"/>
        </w:rPr>
        <w:t xml:space="preserve"> </w:t>
      </w:r>
      <w:r>
        <w:rPr>
          <w:rFonts w:hint="eastAsia" w:ascii="黑体" w:hAnsi="黑体" w:eastAsia="黑体"/>
          <w:color w:val="auto"/>
          <w:szCs w:val="32"/>
        </w:rPr>
        <w:t xml:space="preserve">                                      </w:t>
      </w:r>
    </w:p>
    <w:p w14:paraId="472DBDBA">
      <w:pPr>
        <w:rPr>
          <w:rFonts w:hint="eastAsia" w:ascii="黑体" w:hAnsi="黑体" w:eastAsia="黑体"/>
          <w:color w:val="auto"/>
          <w:szCs w:val="32"/>
        </w:rPr>
      </w:pPr>
      <w:r>
        <w:rPr>
          <w:rFonts w:ascii="黑体" w:hAnsi="黑体" w:eastAsia="黑体"/>
          <w:color w:val="auto"/>
          <w:szCs w:val="32"/>
        </w:rPr>
        <w:t xml:space="preserve">    </w:t>
      </w:r>
      <w:r>
        <w:rPr>
          <w:rFonts w:hint="eastAsia" w:ascii="黑体" w:hAnsi="黑体" w:eastAsia="黑体"/>
          <w:color w:val="auto"/>
          <w:szCs w:val="32"/>
        </w:rPr>
        <w:t>二</w:t>
      </w:r>
      <w:r>
        <w:rPr>
          <w:rFonts w:ascii="黑体" w:hAnsi="黑体" w:eastAsia="黑体"/>
          <w:color w:val="auto"/>
          <w:szCs w:val="32"/>
        </w:rPr>
        <w:t>、</w:t>
      </w:r>
      <w:r>
        <w:rPr>
          <w:rFonts w:hint="eastAsia" w:ascii="黑体" w:hAnsi="黑体" w:eastAsia="黑体"/>
          <w:color w:val="auto"/>
          <w:szCs w:val="32"/>
          <w:lang w:eastAsia="zh-CN"/>
        </w:rPr>
        <w:t>202</w:t>
      </w:r>
      <w:r>
        <w:rPr>
          <w:rFonts w:hint="eastAsia" w:ascii="黑体" w:hAnsi="黑体" w:eastAsia="黑体"/>
          <w:color w:val="auto"/>
          <w:szCs w:val="32"/>
          <w:lang w:val="en-US" w:eastAsia="zh-CN"/>
        </w:rPr>
        <w:t>3</w:t>
      </w:r>
      <w:r>
        <w:rPr>
          <w:rFonts w:ascii="黑体" w:hAnsi="黑体" w:eastAsia="黑体"/>
          <w:color w:val="auto"/>
          <w:szCs w:val="32"/>
        </w:rPr>
        <w:t>年</w:t>
      </w:r>
      <w:r>
        <w:rPr>
          <w:rFonts w:hint="eastAsia" w:ascii="黑体" w:hAnsi="黑体" w:eastAsia="黑体"/>
          <w:color w:val="auto"/>
          <w:szCs w:val="32"/>
        </w:rPr>
        <w:t>度一般公共预算财政拨款“三公”经费支出</w:t>
      </w:r>
      <w:r>
        <w:rPr>
          <w:rFonts w:ascii="黑体" w:hAnsi="黑体" w:eastAsia="黑体"/>
          <w:color w:val="auto"/>
          <w:szCs w:val="32"/>
        </w:rPr>
        <w:t>情况说明</w:t>
      </w:r>
    </w:p>
    <w:p w14:paraId="2E30A636">
      <w:pPr>
        <w:ind w:firstLine="643" w:firstLineChars="200"/>
        <w:rPr>
          <w:rFonts w:hint="eastAsia" w:ascii="仿宋_GB2312" w:hAnsi="仿宋"/>
          <w:b/>
          <w:color w:val="auto"/>
          <w:szCs w:val="32"/>
        </w:rPr>
      </w:pPr>
      <w:r>
        <w:rPr>
          <w:rFonts w:hint="eastAsia" w:ascii="仿宋_GB2312" w:hAnsi="仿宋"/>
          <w:b/>
          <w:color w:val="auto"/>
          <w:szCs w:val="32"/>
        </w:rPr>
        <w:t>（一）一般公共预算财政拨款“三公”经费支出决算总体情况说明。</w:t>
      </w:r>
    </w:p>
    <w:p w14:paraId="714D3BA9">
      <w:pPr>
        <w:ind w:firstLine="640" w:firstLineChars="200"/>
        <w:rPr>
          <w:rFonts w:hint="eastAsia" w:ascii="楷体_GB2312" w:hAnsi="仿宋" w:eastAsia="楷体_GB2312"/>
          <w:color w:val="auto"/>
          <w:szCs w:val="32"/>
        </w:rPr>
      </w:pPr>
      <w:r>
        <w:rPr>
          <w:rFonts w:hint="eastAsia" w:ascii="仿宋_GB2312" w:hAnsi="仿宋"/>
          <w:color w:val="auto"/>
          <w:szCs w:val="32"/>
          <w:lang w:eastAsia="zh-CN"/>
        </w:rPr>
        <w:t>徽州区XX（部门名称）202</w:t>
      </w:r>
      <w:r>
        <w:rPr>
          <w:rFonts w:hint="eastAsia" w:ascii="仿宋_GB2312" w:hAnsi="仿宋"/>
          <w:color w:val="auto"/>
          <w:szCs w:val="32"/>
          <w:lang w:val="en-US" w:eastAsia="zh-CN"/>
        </w:rPr>
        <w:t>3</w:t>
      </w:r>
      <w:r>
        <w:rPr>
          <w:rFonts w:hint="eastAsia" w:ascii="仿宋_GB2312" w:hAnsi="仿宋"/>
          <w:color w:val="auto"/>
          <w:szCs w:val="32"/>
        </w:rPr>
        <w:t>年度一般公共预算财政拨款“三公”经费支出预算为XX万元，支出决算</w:t>
      </w:r>
      <w:r>
        <w:rPr>
          <w:rFonts w:hint="eastAsia" w:ascii="仿宋_GB2312" w:hAnsi="仿宋"/>
          <w:color w:val="auto"/>
          <w:szCs w:val="32"/>
          <w:lang w:eastAsia="zh-CN"/>
        </w:rPr>
        <w:t>为</w:t>
      </w:r>
      <w:r>
        <w:rPr>
          <w:rFonts w:hint="eastAsia" w:ascii="仿宋_GB2312" w:hAnsi="仿宋"/>
          <w:color w:val="auto"/>
          <w:szCs w:val="32"/>
        </w:rPr>
        <w:t>XX万元，完成预算的XX%</w:t>
      </w:r>
      <w:r>
        <w:rPr>
          <w:rFonts w:hint="eastAsia" w:ascii="仿宋_GB2312" w:hAnsi="仿宋"/>
          <w:color w:val="auto"/>
          <w:szCs w:val="32"/>
          <w:lang w:eastAsia="zh-CN"/>
        </w:rPr>
        <w:t>；</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b/>
          <w:bCs/>
          <w:color w:val="auto"/>
          <w:szCs w:val="32"/>
        </w:rPr>
        <w:t>为全面反映“三公”经费支出，本次公布的“三公”经费决算为部门汇总数，包含单位本级和</w:t>
      </w:r>
      <w:r>
        <w:rPr>
          <w:rFonts w:hint="eastAsia" w:ascii="仿宋_GB2312" w:hAnsi="仿宋"/>
          <w:b/>
          <w:bCs/>
          <w:color w:val="auto"/>
          <w:szCs w:val="32"/>
          <w:lang w:eastAsia="zh-CN"/>
        </w:rPr>
        <w:t>所</w:t>
      </w:r>
      <w:r>
        <w:rPr>
          <w:rFonts w:hint="eastAsia" w:ascii="仿宋_GB2312" w:hAnsi="仿宋"/>
          <w:b/>
          <w:bCs/>
          <w:color w:val="auto"/>
          <w:szCs w:val="32"/>
        </w:rPr>
        <w:t>属单位。</w:t>
      </w:r>
      <w:r>
        <w:rPr>
          <w:rFonts w:hint="eastAsia" w:ascii="楷体_GB2312" w:hAnsi="仿宋" w:eastAsia="楷体_GB2312"/>
          <w:color w:val="C00000"/>
          <w:szCs w:val="32"/>
        </w:rPr>
        <w:t>【</w:t>
      </w:r>
      <w:r>
        <w:rPr>
          <w:rFonts w:hint="eastAsia" w:ascii="楷体_GB2312" w:hAnsi="仿宋" w:eastAsia="楷体_GB2312"/>
          <w:color w:val="C00000"/>
          <w:szCs w:val="32"/>
          <w:lang w:val="en-US" w:eastAsia="zh-CN"/>
        </w:rPr>
        <w:t>如</w:t>
      </w:r>
      <w:r>
        <w:rPr>
          <w:rFonts w:hint="eastAsia" w:ascii="楷体_GB2312" w:hAnsi="仿宋" w:eastAsia="楷体_GB2312"/>
          <w:color w:val="C00000"/>
          <w:szCs w:val="32"/>
          <w:lang w:eastAsia="zh-CN"/>
        </w:rPr>
        <w:t>无所属单位，加粗部分可删除</w:t>
      </w:r>
      <w:r>
        <w:rPr>
          <w:rFonts w:hint="eastAsia" w:ascii="楷体_GB2312" w:hAnsi="仿宋" w:eastAsia="楷体_GB2312"/>
          <w:color w:val="C00000"/>
          <w:szCs w:val="32"/>
        </w:rPr>
        <w:t>】</w:t>
      </w:r>
    </w:p>
    <w:p w14:paraId="3FD13124">
      <w:pPr>
        <w:ind w:firstLine="643" w:firstLineChars="200"/>
        <w:rPr>
          <w:rFonts w:hint="eastAsia" w:ascii="仿宋_GB2312" w:hAnsi="仿宋"/>
          <w:b/>
          <w:color w:val="auto"/>
          <w:szCs w:val="32"/>
        </w:rPr>
      </w:pPr>
      <w:r>
        <w:rPr>
          <w:rFonts w:hint="eastAsia" w:ascii="仿宋_GB2312" w:hAnsi="仿宋"/>
          <w:b/>
          <w:bCs/>
          <w:color w:val="auto"/>
          <w:szCs w:val="32"/>
        </w:rPr>
        <w:t>（二）</w:t>
      </w:r>
      <w:r>
        <w:rPr>
          <w:rFonts w:hint="eastAsia" w:ascii="仿宋_GB2312" w:hAnsi="仿宋"/>
          <w:b/>
          <w:color w:val="auto"/>
          <w:szCs w:val="32"/>
        </w:rPr>
        <w:t>一般公共预算财政拨款“三公”经费支出决算具体情况说明。</w:t>
      </w:r>
    </w:p>
    <w:p w14:paraId="72162C6A">
      <w:pPr>
        <w:ind w:firstLine="640" w:firstLineChars="200"/>
        <w:rPr>
          <w:rFonts w:hint="eastAsia" w:ascii="仿宋_GB2312" w:hAnsi="仿宋"/>
          <w:color w:val="auto"/>
          <w:szCs w:val="32"/>
        </w:rPr>
      </w:pPr>
      <w:r>
        <w:rPr>
          <w:rFonts w:hint="eastAsia" w:ascii="仿宋_GB2312" w:hAnsi="仿宋"/>
          <w:color w:val="auto"/>
          <w:szCs w:val="32"/>
          <w:lang w:eastAsia="zh-CN"/>
        </w:rPr>
        <w:t>徽州区XX（部门名称）202</w:t>
      </w:r>
      <w:r>
        <w:rPr>
          <w:rFonts w:hint="eastAsia" w:ascii="仿宋_GB2312" w:hAnsi="仿宋"/>
          <w:color w:val="auto"/>
          <w:szCs w:val="32"/>
          <w:lang w:val="en-US" w:eastAsia="zh-CN"/>
        </w:rPr>
        <w:t>3</w:t>
      </w:r>
      <w:r>
        <w:rPr>
          <w:rFonts w:hint="eastAsia" w:ascii="仿宋_GB2312" w:hAnsi="仿宋"/>
          <w:color w:val="auto"/>
          <w:szCs w:val="32"/>
        </w:rPr>
        <w:t>年度一般公共预算财政拨款“三公”经费支出决算中，因公出国（境）费支出决算XX万元，占XX%;公务接待费支出决算XX万元，占XX%；公务用车购置及运行维护费支出决算XX万元，占XX%。具体情况如下：</w:t>
      </w:r>
    </w:p>
    <w:p w14:paraId="5943F42D">
      <w:pPr>
        <w:ind w:firstLine="628"/>
        <w:rPr>
          <w:rFonts w:hint="eastAsia" w:ascii="仿宋_GB2312" w:hAnsi="仿宋"/>
          <w:color w:val="auto"/>
          <w:szCs w:val="32"/>
        </w:rPr>
      </w:pPr>
      <w:r>
        <w:rPr>
          <w:rFonts w:hint="eastAsia" w:ascii="仿宋_GB2312" w:hAnsi="仿宋"/>
          <w:b/>
          <w:bCs/>
          <w:color w:val="auto"/>
          <w:szCs w:val="32"/>
        </w:rPr>
        <w:t>1.因公出国（境）费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w:t>
      </w:r>
      <w:r>
        <w:rPr>
          <w:rFonts w:hint="eastAsia" w:ascii="仿宋_GB2312" w:hAnsi="仿宋"/>
          <w:color w:val="auto"/>
          <w:szCs w:val="32"/>
          <w:lang w:eastAsia="zh-CN"/>
        </w:rPr>
        <w:t>徽州区XX（部门名称）</w:t>
      </w:r>
      <w:r>
        <w:rPr>
          <w:rFonts w:hint="eastAsia" w:ascii="仿宋_GB2312" w:hAnsi="仿宋"/>
          <w:color w:val="auto"/>
          <w:szCs w:val="32"/>
        </w:rPr>
        <w:t>因公出国（境）团组XX次，累计出国（境）XX人次。该项经费根据</w:t>
      </w:r>
      <w:r>
        <w:rPr>
          <w:rFonts w:hint="eastAsia" w:ascii="仿宋_GB2312" w:hAnsi="仿宋"/>
          <w:color w:val="auto"/>
          <w:szCs w:val="32"/>
          <w:lang w:eastAsia="zh-CN"/>
        </w:rPr>
        <w:t>市</w:t>
      </w:r>
      <w:r>
        <w:rPr>
          <w:rFonts w:hint="eastAsia" w:ascii="仿宋_GB2312" w:hAnsi="仿宋"/>
          <w:color w:val="auto"/>
          <w:szCs w:val="32"/>
        </w:rPr>
        <w:t>外办批准的因公临时出国（境）计划，按照规定标准安排。主要是用于</w:t>
      </w:r>
      <w:r>
        <w:rPr>
          <w:rFonts w:ascii="仿宋_GB2312" w:hAnsi="仿宋"/>
          <w:color w:val="auto"/>
          <w:szCs w:val="32"/>
        </w:rPr>
        <w:t>……</w:t>
      </w:r>
      <w:r>
        <w:rPr>
          <w:rFonts w:hint="eastAsia" w:ascii="楷体_GB2312" w:hAnsi="Times New Roman" w:eastAsia="楷体_GB2312"/>
          <w:color w:val="auto"/>
          <w:kern w:val="2"/>
          <w:sz w:val="32"/>
          <w:szCs w:val="32"/>
        </w:rPr>
        <w:t>【</w:t>
      </w:r>
      <w:r>
        <w:rPr>
          <w:rFonts w:hint="eastAsia" w:ascii="楷体_GB2312" w:hAnsi="仿宋" w:eastAsia="楷体_GB2312"/>
          <w:color w:val="auto"/>
          <w:szCs w:val="32"/>
        </w:rPr>
        <w:t>各</w:t>
      </w:r>
      <w:r>
        <w:rPr>
          <w:rFonts w:hint="eastAsia" w:ascii="楷体_GB2312" w:hAnsi="仿宋" w:eastAsia="楷体_GB2312"/>
          <w:color w:val="auto"/>
          <w:szCs w:val="32"/>
          <w:lang w:eastAsia="zh-CN"/>
        </w:rPr>
        <w:t>部门</w:t>
      </w:r>
      <w:r>
        <w:rPr>
          <w:rFonts w:hint="eastAsia" w:ascii="楷体_GB2312" w:hAnsi="仿宋" w:eastAsia="楷体_GB2312"/>
          <w:color w:val="auto"/>
          <w:szCs w:val="32"/>
        </w:rPr>
        <w:t>根据因公出国境具体情况编报说明】</w:t>
      </w:r>
      <w:r>
        <w:rPr>
          <w:rFonts w:hint="eastAsia" w:ascii="仿宋_GB2312" w:hAnsi="仿宋"/>
          <w:color w:val="auto"/>
          <w:szCs w:val="32"/>
        </w:rPr>
        <w:t>。经费使用严格按照《</w:t>
      </w:r>
      <w:r>
        <w:rPr>
          <w:rFonts w:hint="eastAsia" w:ascii="仿宋_GB2312" w:hAnsi="仿宋"/>
          <w:color w:val="auto"/>
          <w:szCs w:val="32"/>
          <w:lang w:eastAsia="zh-CN"/>
        </w:rPr>
        <w:t>安徽省</w:t>
      </w:r>
      <w:r>
        <w:rPr>
          <w:rFonts w:hint="eastAsia" w:ascii="仿宋_GB2312" w:hAnsi="仿宋"/>
          <w:color w:val="auto"/>
          <w:szCs w:val="32"/>
        </w:rPr>
        <w:t>省直党政机关因公临时出国经费管理办法》（财行〔2014〕104号）、《</w:t>
      </w:r>
      <w:r>
        <w:rPr>
          <w:rFonts w:hint="eastAsia" w:ascii="仿宋_GB2312" w:hAnsi="仿宋"/>
          <w:color w:val="auto"/>
          <w:szCs w:val="32"/>
          <w:lang w:eastAsia="zh-CN"/>
        </w:rPr>
        <w:t>安徽省</w:t>
      </w:r>
      <w:r>
        <w:rPr>
          <w:rFonts w:hint="eastAsia" w:ascii="仿宋_GB2312" w:hAnsi="仿宋"/>
          <w:color w:val="auto"/>
          <w:szCs w:val="32"/>
        </w:rPr>
        <w:t>省直党政机关因公短期出国培训费用管理办法》（财行〔2014〕527号）等相关规定执行。</w:t>
      </w:r>
    </w:p>
    <w:p w14:paraId="4C5E759D">
      <w:pPr>
        <w:ind w:firstLine="643" w:firstLineChars="200"/>
        <w:rPr>
          <w:rFonts w:hint="eastAsia" w:ascii="仿宋_GB2312" w:hAnsi="仿宋"/>
          <w:color w:val="auto"/>
          <w:szCs w:val="32"/>
        </w:rPr>
      </w:pPr>
      <w:r>
        <w:rPr>
          <w:rFonts w:hint="eastAsia" w:ascii="仿宋_GB2312" w:hAnsi="仿宋"/>
          <w:b/>
          <w:bCs/>
          <w:color w:val="auto"/>
          <w:szCs w:val="32"/>
        </w:rPr>
        <w:t>2.公务接待费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w:t>
      </w:r>
      <w:r>
        <w:rPr>
          <w:rFonts w:hint="eastAsia" w:ascii="仿宋_GB2312" w:hAnsi="仿宋"/>
          <w:color w:val="auto"/>
          <w:szCs w:val="32"/>
          <w:lang w:eastAsia="zh-CN"/>
        </w:rPr>
        <w:t>徽州区XX（部门名称）</w:t>
      </w:r>
      <w:r>
        <w:rPr>
          <w:rFonts w:hint="eastAsia" w:ascii="仿宋_GB2312" w:hAnsi="仿宋"/>
          <w:color w:val="auto"/>
          <w:szCs w:val="32"/>
        </w:rPr>
        <w:t>国内公务接待共XX批次（其中外事接待XX批次），XX人次（其中外事接待XX人次）。主要是用于</w:t>
      </w:r>
      <w:r>
        <w:rPr>
          <w:rFonts w:ascii="仿宋_GB2312" w:hAnsi="仿宋"/>
          <w:color w:val="auto"/>
          <w:szCs w:val="32"/>
        </w:rPr>
        <w:t>……</w:t>
      </w:r>
      <w:r>
        <w:rPr>
          <w:rFonts w:hint="eastAsia" w:ascii="楷体_GB2312" w:hAnsi="Times New Roman" w:eastAsia="楷体_GB2312"/>
          <w:color w:val="auto"/>
          <w:kern w:val="2"/>
          <w:sz w:val="32"/>
          <w:szCs w:val="32"/>
        </w:rPr>
        <w:t>【</w:t>
      </w:r>
      <w:r>
        <w:rPr>
          <w:rFonts w:hint="eastAsia" w:ascii="楷体_GB2312" w:hAnsi="仿宋" w:eastAsia="楷体_GB2312"/>
          <w:color w:val="auto"/>
          <w:szCs w:val="32"/>
        </w:rPr>
        <w:t>各</w:t>
      </w:r>
      <w:r>
        <w:rPr>
          <w:rFonts w:hint="eastAsia" w:ascii="楷体_GB2312" w:hAnsi="仿宋" w:eastAsia="楷体_GB2312"/>
          <w:color w:val="auto"/>
          <w:szCs w:val="32"/>
          <w:lang w:eastAsia="zh-CN"/>
        </w:rPr>
        <w:t>部门</w:t>
      </w:r>
      <w:r>
        <w:rPr>
          <w:rFonts w:hint="eastAsia" w:ascii="楷体_GB2312" w:hAnsi="仿宋" w:eastAsia="楷体_GB2312"/>
          <w:color w:val="auto"/>
          <w:szCs w:val="32"/>
        </w:rPr>
        <w:t>根据接待具体情况编报说明】</w:t>
      </w:r>
      <w:r>
        <w:rPr>
          <w:rFonts w:hint="eastAsia" w:ascii="仿宋_GB2312" w:hAnsi="仿宋"/>
          <w:color w:val="auto"/>
          <w:szCs w:val="32"/>
        </w:rPr>
        <w:t>。经费使用贯彻中央八项规定</w:t>
      </w:r>
      <w:r>
        <w:rPr>
          <w:rFonts w:hint="eastAsia" w:ascii="仿宋_GB2312" w:hAnsi="仿宋"/>
          <w:color w:val="auto"/>
          <w:szCs w:val="32"/>
          <w:lang w:eastAsia="zh-CN"/>
        </w:rPr>
        <w:t>精神</w:t>
      </w:r>
      <w:r>
        <w:rPr>
          <w:rFonts w:hint="eastAsia" w:ascii="仿宋_GB2312" w:hAnsi="仿宋"/>
          <w:color w:val="auto"/>
          <w:szCs w:val="32"/>
        </w:rPr>
        <w:t>和省</w:t>
      </w:r>
      <w:r>
        <w:rPr>
          <w:rFonts w:hint="eastAsia" w:ascii="仿宋_GB2312" w:hAnsi="仿宋"/>
          <w:color w:val="auto"/>
          <w:szCs w:val="32"/>
          <w:lang w:eastAsia="zh-CN"/>
        </w:rPr>
        <w:t>委</w:t>
      </w:r>
      <w:r>
        <w:rPr>
          <w:rFonts w:hint="eastAsia" w:ascii="仿宋_GB2312" w:hAnsi="仿宋"/>
          <w:color w:val="auto"/>
          <w:szCs w:val="32"/>
        </w:rPr>
        <w:t>实</w:t>
      </w:r>
      <w:r>
        <w:rPr>
          <w:rFonts w:hint="eastAsia" w:ascii="仿宋_GB2312" w:hAnsi="宋体" w:cs="宋体"/>
          <w:color w:val="auto"/>
          <w:kern w:val="0"/>
          <w:szCs w:val="32"/>
        </w:rPr>
        <w:t>施细则</w:t>
      </w:r>
      <w:r>
        <w:rPr>
          <w:rFonts w:hint="eastAsia" w:ascii="仿宋_GB2312" w:hAnsi="仿宋"/>
          <w:color w:val="auto"/>
          <w:szCs w:val="32"/>
        </w:rPr>
        <w:t>，严格执行《党政机关厉行节约反对浪费条例》、《关于规范差旅费伙食费和市内交通费收交管理有关事项的通知》（</w:t>
      </w:r>
      <w:r>
        <w:rPr>
          <w:rFonts w:hint="eastAsia" w:ascii="仿宋_GB2312" w:hAnsi="仿宋"/>
          <w:color w:val="auto"/>
          <w:szCs w:val="32"/>
          <w:lang w:eastAsia="zh-CN"/>
        </w:rPr>
        <w:t>徽</w:t>
      </w:r>
      <w:r>
        <w:rPr>
          <w:rFonts w:hint="eastAsia" w:ascii="仿宋_GB2312" w:hAnsi="仿宋"/>
          <w:color w:val="auto"/>
          <w:szCs w:val="32"/>
        </w:rPr>
        <w:t>财行〔201</w:t>
      </w:r>
      <w:r>
        <w:rPr>
          <w:rFonts w:hint="eastAsia" w:ascii="仿宋_GB2312" w:hAnsi="仿宋"/>
          <w:color w:val="auto"/>
          <w:szCs w:val="32"/>
          <w:lang w:val="en-US" w:eastAsia="zh-CN"/>
        </w:rPr>
        <w:t>9</w:t>
      </w:r>
      <w:r>
        <w:rPr>
          <w:rFonts w:hint="eastAsia" w:ascii="仿宋_GB2312" w:hAnsi="仿宋"/>
          <w:color w:val="auto"/>
          <w:szCs w:val="32"/>
        </w:rPr>
        <w:t>〕</w:t>
      </w:r>
      <w:r>
        <w:rPr>
          <w:rFonts w:hint="eastAsia" w:ascii="仿宋_GB2312" w:hAnsi="仿宋"/>
          <w:color w:val="auto"/>
          <w:szCs w:val="32"/>
          <w:lang w:val="en-US" w:eastAsia="zh-CN"/>
        </w:rPr>
        <w:t>136</w:t>
      </w:r>
      <w:r>
        <w:rPr>
          <w:rFonts w:hint="eastAsia" w:ascii="仿宋_GB2312" w:hAnsi="仿宋"/>
          <w:color w:val="auto"/>
          <w:szCs w:val="32"/>
        </w:rPr>
        <w:t>号）</w:t>
      </w:r>
      <w:r>
        <w:rPr>
          <w:rFonts w:hint="eastAsia" w:ascii="仿宋_GB2312" w:hAnsi="仿宋"/>
          <w:color w:val="auto"/>
          <w:szCs w:val="32"/>
          <w:lang w:eastAsia="zh-CN"/>
        </w:rPr>
        <w:t>、《徽州区党政机关国内公务考察及公务接待管理暂行办法》</w:t>
      </w:r>
      <w:r>
        <w:rPr>
          <w:rFonts w:hint="eastAsia" w:ascii="仿宋_GB2312" w:hAnsi="仿宋"/>
          <w:color w:val="auto"/>
          <w:szCs w:val="32"/>
        </w:rPr>
        <w:t>（</w:t>
      </w:r>
      <w:r>
        <w:rPr>
          <w:rFonts w:hint="eastAsia" w:ascii="仿宋_GB2312" w:hAnsi="仿宋"/>
          <w:color w:val="auto"/>
          <w:szCs w:val="32"/>
          <w:lang w:eastAsia="zh-CN"/>
        </w:rPr>
        <w:t>徽办发</w:t>
      </w:r>
      <w:r>
        <w:rPr>
          <w:rFonts w:hint="eastAsia" w:ascii="仿宋_GB2312" w:hAnsi="仿宋"/>
          <w:color w:val="auto"/>
          <w:szCs w:val="32"/>
        </w:rPr>
        <w:t>〔201</w:t>
      </w:r>
      <w:r>
        <w:rPr>
          <w:rFonts w:hint="eastAsia" w:ascii="仿宋_GB2312" w:hAnsi="仿宋"/>
          <w:color w:val="auto"/>
          <w:szCs w:val="32"/>
          <w:lang w:val="en-US" w:eastAsia="zh-CN"/>
        </w:rPr>
        <w:t>5</w:t>
      </w:r>
      <w:r>
        <w:rPr>
          <w:rFonts w:hint="eastAsia" w:ascii="仿宋_GB2312" w:hAnsi="仿宋"/>
          <w:color w:val="auto"/>
          <w:szCs w:val="32"/>
        </w:rPr>
        <w:t>〕</w:t>
      </w:r>
      <w:r>
        <w:rPr>
          <w:rFonts w:hint="eastAsia" w:ascii="仿宋_GB2312" w:hAnsi="仿宋"/>
          <w:color w:val="auto"/>
          <w:szCs w:val="32"/>
          <w:lang w:val="en-US" w:eastAsia="zh-CN"/>
        </w:rPr>
        <w:t>1</w:t>
      </w:r>
      <w:r>
        <w:rPr>
          <w:rFonts w:hint="eastAsia" w:ascii="仿宋_GB2312" w:hAnsi="仿宋"/>
          <w:color w:val="auto"/>
          <w:szCs w:val="32"/>
        </w:rPr>
        <w:t>号）</w:t>
      </w:r>
      <w:r>
        <w:rPr>
          <w:rFonts w:hint="eastAsia" w:ascii="仿宋_GB2312" w:hAnsi="仿宋"/>
          <w:color w:val="auto"/>
          <w:szCs w:val="32"/>
          <w:lang w:eastAsia="zh-CN"/>
        </w:rPr>
        <w:t>等</w:t>
      </w:r>
      <w:r>
        <w:rPr>
          <w:rFonts w:hint="eastAsia" w:ascii="仿宋_GB2312" w:hAnsi="仿宋"/>
          <w:color w:val="auto"/>
          <w:szCs w:val="32"/>
        </w:rPr>
        <w:t>相关规定。</w:t>
      </w:r>
    </w:p>
    <w:p w14:paraId="2C1C255C">
      <w:pPr>
        <w:ind w:firstLine="643" w:firstLineChars="200"/>
      </w:pPr>
      <w:r>
        <w:rPr>
          <w:rFonts w:hint="eastAsia" w:ascii="仿宋_GB2312" w:hAnsi="仿宋"/>
          <w:b/>
          <w:bCs/>
          <w:color w:val="auto"/>
          <w:szCs w:val="32"/>
        </w:rPr>
        <w:t>3.公务用车购置及运行维护费</w:t>
      </w:r>
      <w:r>
        <w:rPr>
          <w:rFonts w:hint="eastAsia" w:ascii="仿宋_GB2312" w:hAnsi="仿宋"/>
          <w:color w:val="auto"/>
          <w:szCs w:val="32"/>
          <w:lang w:eastAsia="zh-CN"/>
        </w:rPr>
        <w:t>预算为XX万元，支出决算为</w:t>
      </w:r>
      <w:r>
        <w:rPr>
          <w:rFonts w:hint="eastAsia" w:ascii="仿宋_GB2312" w:hAnsi="仿宋"/>
          <w:color w:val="auto"/>
          <w:szCs w:val="32"/>
          <w:lang w:val="en-US" w:eastAsia="zh-CN"/>
        </w:rPr>
        <w:t xml:space="preserve">  </w:t>
      </w:r>
      <w:r>
        <w:rPr>
          <w:rFonts w:hint="eastAsia" w:ascii="仿宋_GB2312" w:hAnsi="仿宋"/>
          <w:color w:val="auto"/>
          <w:szCs w:val="32"/>
          <w:lang w:eastAsia="zh-CN"/>
        </w:rPr>
        <w:t>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rPr>
        <w:t>其中，公务用车购置费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年购置公务用车X辆。</w:t>
      </w:r>
      <w:r>
        <w:rPr>
          <w:rFonts w:hint="eastAsia" w:ascii="楷体_GB2312" w:hAnsi="楷体_GB2312" w:eastAsia="楷体_GB2312" w:cs="楷体_GB2312"/>
          <w:color w:val="C00000"/>
          <w:kern w:val="2"/>
          <w:sz w:val="32"/>
          <w:szCs w:val="32"/>
        </w:rPr>
        <w:t>【</w:t>
      </w:r>
      <w:r>
        <w:rPr>
          <w:rFonts w:hint="eastAsia" w:ascii="楷体_GB2312" w:hAnsi="楷体_GB2312" w:eastAsia="楷体_GB2312" w:cs="楷体_GB2312"/>
          <w:color w:val="C00000"/>
          <w:szCs w:val="32"/>
        </w:rPr>
        <w:t>如没有安排公务用车购置</w:t>
      </w:r>
      <w:r>
        <w:rPr>
          <w:rFonts w:hint="eastAsia" w:ascii="楷体_GB2312" w:hAnsi="楷体_GB2312" w:eastAsia="楷体_GB2312" w:cs="楷体_GB2312"/>
          <w:color w:val="C00000"/>
          <w:szCs w:val="32"/>
          <w:lang w:eastAsia="zh-CN"/>
        </w:rPr>
        <w:t>费</w:t>
      </w:r>
      <w:r>
        <w:rPr>
          <w:rFonts w:hint="eastAsia" w:ascii="楷体_GB2312" w:hAnsi="楷体_GB2312" w:eastAsia="楷体_GB2312" w:cs="楷体_GB2312"/>
          <w:color w:val="C00000"/>
          <w:szCs w:val="32"/>
        </w:rPr>
        <w:t>，可表述为</w:t>
      </w:r>
      <w:r>
        <w:rPr>
          <w:rFonts w:hint="eastAsia" w:ascii="楷体_GB2312" w:hAnsi="楷体_GB2312" w:eastAsia="楷体_GB2312" w:cs="楷体_GB2312"/>
          <w:color w:val="C00000"/>
          <w:szCs w:val="32"/>
          <w:lang w:eastAsia="zh-CN"/>
        </w:rPr>
        <w:t>202</w:t>
      </w:r>
      <w:r>
        <w:rPr>
          <w:rFonts w:hint="eastAsia" w:ascii="楷体_GB2312" w:hAnsi="楷体_GB2312" w:eastAsia="楷体_GB2312" w:cs="楷体_GB2312"/>
          <w:color w:val="C00000"/>
          <w:szCs w:val="32"/>
          <w:lang w:val="en-US" w:eastAsia="zh-CN"/>
        </w:rPr>
        <w:t>3</w:t>
      </w:r>
      <w:r>
        <w:rPr>
          <w:rFonts w:hint="eastAsia" w:ascii="楷体_GB2312" w:hAnsi="楷体_GB2312" w:eastAsia="楷体_GB2312" w:cs="楷体_GB2312"/>
          <w:color w:val="C00000"/>
          <w:szCs w:val="32"/>
        </w:rPr>
        <w:t>年没有安排公务用车购置费】</w:t>
      </w:r>
      <w:r>
        <w:rPr>
          <w:rFonts w:hint="eastAsia" w:ascii="楷体_GB2312" w:hAnsi="仿宋" w:eastAsia="楷体_GB2312"/>
          <w:color w:val="auto"/>
          <w:szCs w:val="32"/>
        </w:rPr>
        <w:t>。</w:t>
      </w:r>
      <w:r>
        <w:rPr>
          <w:rFonts w:hint="eastAsia" w:ascii="仿宋_GB2312" w:hAnsi="仿宋"/>
          <w:color w:val="auto"/>
          <w:szCs w:val="32"/>
        </w:rPr>
        <w:t>公务用车运行维护费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rPr>
        <w:t>公务用车运行维护费，包括车辆燃料费、维修费、过路过桥费、保险费等支出，主要用于</w:t>
      </w:r>
      <w:r>
        <w:rPr>
          <w:rFonts w:ascii="仿宋_GB2312" w:hAnsi="仿宋"/>
          <w:color w:val="auto"/>
          <w:szCs w:val="32"/>
        </w:rPr>
        <w:t>……</w:t>
      </w:r>
      <w:r>
        <w:rPr>
          <w:rFonts w:hint="eastAsia" w:ascii="楷体_GB2312" w:hAnsi="楷体_GB2312" w:eastAsia="楷体_GB2312" w:cs="楷体_GB2312"/>
          <w:color w:val="auto"/>
          <w:kern w:val="2"/>
          <w:sz w:val="32"/>
          <w:szCs w:val="32"/>
        </w:rPr>
        <w:t>【</w:t>
      </w:r>
      <w:r>
        <w:rPr>
          <w:rFonts w:hint="eastAsia" w:ascii="楷体_GB2312" w:hAnsi="仿宋" w:eastAsia="楷体_GB2312"/>
          <w:color w:val="auto"/>
          <w:szCs w:val="32"/>
        </w:rPr>
        <w:t>各</w:t>
      </w:r>
      <w:r>
        <w:rPr>
          <w:rFonts w:hint="eastAsia" w:ascii="楷体_GB2312" w:hAnsi="仿宋" w:eastAsia="楷体_GB2312"/>
          <w:color w:val="auto"/>
          <w:szCs w:val="32"/>
          <w:lang w:eastAsia="zh-CN"/>
        </w:rPr>
        <w:t>部门</w:t>
      </w:r>
      <w:r>
        <w:rPr>
          <w:rFonts w:hint="eastAsia" w:ascii="楷体_GB2312" w:hAnsi="仿宋" w:eastAsia="楷体_GB2312"/>
          <w:color w:val="auto"/>
          <w:szCs w:val="32"/>
        </w:rPr>
        <w:t>根据实际情况编报具体支出内容</w:t>
      </w:r>
      <w:r>
        <w:rPr>
          <w:rFonts w:hint="eastAsia" w:ascii="楷体_GB2312" w:hAnsi="楷体_GB2312" w:eastAsia="楷体_GB2312" w:cs="楷体_GB2312"/>
          <w:color w:val="auto"/>
          <w:szCs w:val="32"/>
        </w:rPr>
        <w:t>】</w:t>
      </w:r>
      <w:r>
        <w:rPr>
          <w:rFonts w:hint="eastAsia" w:ascii="仿宋_GB2312" w:hAnsi="仿宋"/>
          <w:color w:val="auto"/>
          <w:szCs w:val="32"/>
        </w:rPr>
        <w:t>。截至</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年12月31日，</w:t>
      </w:r>
      <w:r>
        <w:rPr>
          <w:rFonts w:hint="eastAsia" w:ascii="仿宋_GB2312" w:hAnsi="仿宋"/>
          <w:color w:val="auto"/>
          <w:szCs w:val="32"/>
          <w:lang w:eastAsia="zh-CN"/>
        </w:rPr>
        <w:t>徽州区XX（部门名称）</w:t>
      </w:r>
      <w:r>
        <w:rPr>
          <w:rFonts w:hint="eastAsia" w:ascii="仿宋_GB2312" w:hAnsi="仿宋"/>
          <w:color w:val="auto"/>
          <w:szCs w:val="32"/>
        </w:rPr>
        <w:t>机关</w:t>
      </w:r>
      <w:r>
        <w:rPr>
          <w:rFonts w:hint="eastAsia" w:ascii="仿宋_GB2312" w:hAnsi="仿宋"/>
          <w:b/>
          <w:bCs/>
          <w:color w:val="auto"/>
          <w:szCs w:val="32"/>
        </w:rPr>
        <w:t>及所属单位</w:t>
      </w:r>
      <w:r>
        <w:rPr>
          <w:rFonts w:hint="eastAsia" w:ascii="楷体_GB2312" w:hAnsi="仿宋" w:eastAsia="楷体_GB2312"/>
          <w:color w:val="C00000"/>
          <w:szCs w:val="32"/>
        </w:rPr>
        <w:t>【</w:t>
      </w:r>
      <w:r>
        <w:rPr>
          <w:rFonts w:hint="eastAsia" w:ascii="楷体_GB2312" w:hAnsi="仿宋" w:eastAsia="楷体_GB2312"/>
          <w:color w:val="C00000"/>
          <w:szCs w:val="32"/>
          <w:lang w:val="en-US" w:eastAsia="zh-CN"/>
        </w:rPr>
        <w:t>如</w:t>
      </w:r>
      <w:r>
        <w:rPr>
          <w:rFonts w:hint="eastAsia" w:ascii="楷体_GB2312" w:hAnsi="仿宋" w:eastAsia="楷体_GB2312"/>
          <w:color w:val="C00000"/>
          <w:szCs w:val="32"/>
          <w:lang w:eastAsia="zh-CN"/>
        </w:rPr>
        <w:t>无所属单位，加粗部分可删除</w:t>
      </w:r>
      <w:r>
        <w:rPr>
          <w:rFonts w:hint="eastAsia" w:ascii="楷体_GB2312" w:hAnsi="仿宋" w:eastAsia="楷体_GB2312"/>
          <w:color w:val="C00000"/>
          <w:szCs w:val="32"/>
        </w:rPr>
        <w:t>】</w:t>
      </w:r>
      <w:r>
        <w:rPr>
          <w:rFonts w:hint="eastAsia" w:ascii="仿宋_GB2312" w:hAnsi="仿宋"/>
          <w:color w:val="auto"/>
          <w:szCs w:val="32"/>
        </w:rPr>
        <w:t>开支财政拨款的公务用车保有量为XX辆。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MGViMTk0OWFhNDFhYTNmMjJhOWFlZWRhMDZmMWEifQ=="/>
  </w:docVars>
  <w:rsids>
    <w:rsidRoot w:val="00000000"/>
    <w:rsid w:val="0CAB7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2024-09-14T00:34:42Z</dcterms:created>
  <dc:creator>Administrator</dc:creator>
  <cp:lastModifiedBy>小黄豆</cp:lastModifiedBy>
  <dcterms:modified xsi:type="dcterms:W3CDTF">2024-09-14T00:42:56Z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E8BAAD33EA684EFA9555CFF9A5AE860B_12</vt:lpwstr>
  </property>
</Properties>
</file>